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67"/>
        <w:jc w:val="center"/>
        <w:rPr>
          <w:b/>
        </w:rPr>
      </w:pPr>
      <w:r>
        <w:rPr>
          <w:b/>
        </w:rPr>
        <w:t xml:space="preserve">Подробная расшифровка статей</w:t>
      </w:r>
      <w:r>
        <w:rPr>
          <w:rFonts w:eastAsia="Times New Roman"/>
          <w:b/>
          <w:sz w:val="24"/>
          <w:szCs w:val="24"/>
          <w:lang w:eastAsia="ru-RU"/>
        </w:rPr>
        <w:t xml:space="preserve"> </w:t>
      </w:r>
      <w:r>
        <w:rPr>
          <w:b/>
        </w:rPr>
        <w:t xml:space="preserve">доходов областного бюджета Новосибирской области</w:t>
      </w:r>
      <w:r>
        <w:rPr>
          <w:b/>
        </w:rPr>
        <w:t xml:space="preserve"> «Прочие неналоговые доходы»</w:t>
      </w:r>
      <w:r>
        <w:rPr>
          <w:b/>
        </w:rPr>
        <w:t xml:space="preserve">, </w:t>
      </w:r>
      <w:r>
        <w:rPr>
          <w:b/>
        </w:rPr>
        <w:t xml:space="preserve">«Прочие </w:t>
      </w:r>
      <w:r>
        <w:rPr>
          <w:b/>
        </w:rPr>
        <w:t xml:space="preserve">субсидии</w:t>
      </w:r>
      <w:r>
        <w:rPr>
          <w:b/>
        </w:rPr>
        <w:t xml:space="preserve">»</w:t>
      </w:r>
      <w:r>
        <w:rPr>
          <w:b/>
        </w:rPr>
        <w:t xml:space="preserve"> и «Прочие межбюджетные трансферты» </w:t>
      </w:r>
      <w:r>
        <w:rPr>
          <w:b/>
        </w:rPr>
        <w:t xml:space="preserve">за 2025</w:t>
      </w:r>
      <w:r>
        <w:rPr>
          <w:b/>
        </w:rPr>
        <w:t xml:space="preserve"> год</w:t>
      </w:r>
      <w:r>
        <w:rPr>
          <w:b/>
        </w:rPr>
      </w:r>
      <w:r>
        <w:rPr>
          <w:b/>
        </w:rPr>
      </w:r>
    </w:p>
    <w:p>
      <w:pPr>
        <w:pStyle w:val="867"/>
        <w:jc w:val="center"/>
        <w:rPr>
          <w:b/>
          <w:color w:val="ff0000"/>
        </w:rPr>
      </w:pPr>
      <w:r>
        <w:rPr>
          <w:b/>
          <w:color w:val="ff0000"/>
        </w:rPr>
      </w:r>
      <w:r>
        <w:rPr>
          <w:b/>
          <w:color w:val="ff0000"/>
        </w:rPr>
      </w:r>
      <w:r>
        <w:rPr>
          <w:b/>
          <w:color w:val="ff0000"/>
        </w:rPr>
      </w:r>
    </w:p>
    <w:p>
      <w:pPr>
        <w:pStyle w:val="859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подгруппе</w:t>
      </w:r>
      <w:r>
        <w:rPr>
          <w:b/>
          <w:sz w:val="28"/>
          <w:szCs w:val="28"/>
        </w:rPr>
        <w:t xml:space="preserve"> прочие неналоговые доходы </w:t>
      </w:r>
      <w:r>
        <w:rPr>
          <w:sz w:val="28"/>
          <w:szCs w:val="28"/>
        </w:rPr>
        <w:t xml:space="preserve">за 2025</w:t>
      </w:r>
      <w:r>
        <w:rPr>
          <w:sz w:val="28"/>
          <w:szCs w:val="28"/>
        </w:rPr>
        <w:t xml:space="preserve"> год поступили в сумме </w:t>
      </w:r>
      <w:r>
        <w:rPr>
          <w:sz w:val="28"/>
          <w:szCs w:val="28"/>
        </w:rPr>
        <w:t xml:space="preserve">72 075,1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рублей.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9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Фактические поступления по статье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1 17 01000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«Н</w:t>
      </w:r>
      <w:r>
        <w:rPr>
          <w:sz w:val="28"/>
          <w:szCs w:val="28"/>
        </w:rPr>
        <w:t xml:space="preserve">евыясненные поступления</w:t>
      </w:r>
      <w:r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составили </w:t>
      </w:r>
      <w:r>
        <w:rPr>
          <w:sz w:val="28"/>
          <w:szCs w:val="28"/>
        </w:rPr>
        <w:t xml:space="preserve">«-» 926,2 тыс</w:t>
      </w:r>
      <w:r>
        <w:rPr>
          <w:sz w:val="28"/>
          <w:szCs w:val="28"/>
        </w:rPr>
        <w:t xml:space="preserve">. руб.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9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Фактические поступления по статье </w:t>
      </w:r>
      <w:r>
        <w:rPr>
          <w:sz w:val="28"/>
          <w:szCs w:val="28"/>
        </w:rPr>
        <w:t xml:space="preserve">1 17 05000 «П</w:t>
      </w:r>
      <w:r>
        <w:rPr>
          <w:sz w:val="28"/>
          <w:szCs w:val="28"/>
        </w:rPr>
        <w:t xml:space="preserve">рочие неналоговые доходы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 составили </w:t>
      </w:r>
      <w:r>
        <w:rPr>
          <w:sz w:val="28"/>
          <w:szCs w:val="28"/>
        </w:rPr>
        <w:t xml:space="preserve">72 893,2</w:t>
      </w:r>
      <w:r>
        <w:rPr>
          <w:sz w:val="28"/>
          <w:szCs w:val="28"/>
        </w:rPr>
        <w:t xml:space="preserve"> тыс. рублей</w:t>
      </w:r>
      <w:r>
        <w:rPr>
          <w:rFonts w:eastAsia="Arial"/>
          <w:sz w:val="28"/>
          <w:szCs w:val="28"/>
          <w:lang w:eastAsia="en-US"/>
        </w:rPr>
        <w:t xml:space="preserve"> за счет</w:t>
      </w:r>
      <w:r>
        <w:rPr>
          <w:rFonts w:eastAsia="Arial"/>
          <w:sz w:val="28"/>
          <w:szCs w:val="28"/>
          <w:lang w:eastAsia="en-US"/>
        </w:rPr>
        <w:t xml:space="preserve"> </w:t>
      </w:r>
      <w:r>
        <w:rPr>
          <w:rFonts w:eastAsia="Arial"/>
          <w:sz w:val="28"/>
          <w:szCs w:val="28"/>
          <w:lang w:eastAsia="en-US"/>
        </w:rPr>
        <w:t xml:space="preserve">поступлени</w:t>
      </w:r>
      <w:r>
        <w:rPr>
          <w:rFonts w:eastAsia="Arial"/>
          <w:sz w:val="28"/>
          <w:szCs w:val="28"/>
          <w:lang w:eastAsia="en-US"/>
        </w:rPr>
        <w:t xml:space="preserve">й от</w:t>
      </w:r>
      <w:r>
        <w:rPr>
          <w:rFonts w:eastAsia="Arial"/>
          <w:sz w:val="28"/>
          <w:szCs w:val="28"/>
          <w:lang w:eastAsia="en-US"/>
        </w:rPr>
        <w:t xml:space="preserve"> </w:t>
      </w:r>
      <w:r>
        <w:rPr>
          <w:rFonts w:eastAsia="Arial"/>
          <w:color w:val="000000" w:themeColor="text1"/>
          <w:sz w:val="28"/>
          <w:szCs w:val="28"/>
          <w:lang w:eastAsia="en-US"/>
        </w:rPr>
        <w:t xml:space="preserve">ликвидации ГУП НСО «Новосибирский областной центр развития промышленности </w:t>
        <w:br/>
        <w:t xml:space="preserve">и предпринимательства» (главный администратор - министерство промышленности, торговли и развития предприним</w:t>
      </w:r>
      <w:r>
        <w:rPr>
          <w:rFonts w:eastAsia="Arial"/>
          <w:color w:val="000000" w:themeColor="text1"/>
          <w:sz w:val="28"/>
          <w:szCs w:val="28"/>
          <w:lang w:eastAsia="en-US"/>
        </w:rPr>
        <w:t xml:space="preserve">ательства Новосибирской области).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9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подгруппе</w:t>
      </w:r>
      <w:r>
        <w:rPr>
          <w:b/>
          <w:sz w:val="28"/>
          <w:szCs w:val="28"/>
        </w:rPr>
        <w:t xml:space="preserve"> прочие </w:t>
      </w:r>
      <w:r>
        <w:rPr>
          <w:b/>
          <w:sz w:val="28"/>
          <w:szCs w:val="28"/>
        </w:rPr>
        <w:t xml:space="preserve">субсидии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за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202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 год поступили</w:t>
      </w:r>
      <w:r>
        <w:rPr>
          <w:sz w:val="28"/>
          <w:szCs w:val="28"/>
        </w:rPr>
        <w:t xml:space="preserve"> средства</w:t>
      </w:r>
      <w:r>
        <w:rPr>
          <w:sz w:val="28"/>
          <w:szCs w:val="28"/>
        </w:rPr>
        <w:t xml:space="preserve"> в сумме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16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300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тыс.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рублей.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9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КБК доходов</w:t>
      </w:r>
      <w:r>
        <w:rPr>
          <w:sz w:val="28"/>
          <w:szCs w:val="28"/>
        </w:rPr>
        <w:t xml:space="preserve"> 2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02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29999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02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0000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150</w:t>
      </w:r>
      <w:r>
        <w:rPr>
          <w:sz w:val="28"/>
          <w:szCs w:val="28"/>
        </w:rPr>
        <w:t xml:space="preserve">, где главным администратором доходов является министерство труда и социального развития Новосибирской области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поступил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</w:t>
      </w:r>
      <w:r>
        <w:rPr>
          <w:sz w:val="28"/>
          <w:szCs w:val="28"/>
        </w:rPr>
        <w:t xml:space="preserve">убсидии субъектам Российской Федерации </w:t>
      </w:r>
      <w:r>
        <w:rPr>
          <w:sz w:val="28"/>
          <w:szCs w:val="28"/>
        </w:rPr>
        <w:br/>
      </w:r>
      <w:r>
        <w:rPr>
          <w:sz w:val="28"/>
          <w:szCs w:val="28"/>
        </w:rPr>
        <w:t xml:space="preserve">на софинансирование расходов по предоставлению субсидий льготным категориям граждан на покупку и установку газоиспользующего оборудования, проведение работ при социальной газификации (догазификации)</w:t>
      </w:r>
      <w:r>
        <w:rPr>
          <w:sz w:val="28"/>
          <w:szCs w:val="28"/>
        </w:rPr>
        <w:t xml:space="preserve"> – в размере </w:t>
      </w:r>
      <w:r>
        <w:rPr>
          <w:sz w:val="28"/>
          <w:szCs w:val="28"/>
        </w:rPr>
        <w:t xml:space="preserve">16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300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 тыс. рублей</w:t>
      </w:r>
      <w:r>
        <w:rPr>
          <w:sz w:val="28"/>
          <w:szCs w:val="28"/>
        </w:rPr>
        <w:t xml:space="preserve">, в соответствии с распоряжени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м Правительства РФ </w:t>
      </w:r>
      <w:r>
        <w:rPr>
          <w:sz w:val="28"/>
          <w:szCs w:val="28"/>
        </w:rPr>
        <w:br/>
      </w:r>
      <w:r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25</w:t>
      </w:r>
      <w:r>
        <w:rPr>
          <w:sz w:val="28"/>
          <w:szCs w:val="28"/>
        </w:rPr>
        <w:t xml:space="preserve">.0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.202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444</w:t>
      </w:r>
      <w:r>
        <w:rPr>
          <w:sz w:val="28"/>
          <w:szCs w:val="28"/>
        </w:rPr>
        <w:t xml:space="preserve">-р</w:t>
      </w:r>
      <w:r>
        <w:rPr>
          <w:sz w:val="28"/>
          <w:szCs w:val="28"/>
        </w:rPr>
        <w:t xml:space="preserve"> (в редакции распоряжения Правительства РФ от 09.12.2025 № 3656-р)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9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подгруппе</w:t>
      </w:r>
      <w:r>
        <w:rPr>
          <w:b/>
          <w:sz w:val="28"/>
          <w:szCs w:val="28"/>
        </w:rPr>
        <w:t xml:space="preserve"> прочие </w:t>
      </w:r>
      <w:r>
        <w:rPr>
          <w:b/>
          <w:sz w:val="28"/>
          <w:szCs w:val="28"/>
        </w:rPr>
        <w:t xml:space="preserve">межбюджетные трансферты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за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202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 год поступили </w:t>
      </w:r>
      <w:r>
        <w:rPr>
          <w:sz w:val="28"/>
          <w:szCs w:val="28"/>
        </w:rPr>
        <w:t xml:space="preserve">средства </w:t>
      </w:r>
      <w:r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 xml:space="preserve">250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429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8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тыс.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рублей.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9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КБК доходов 2 02 49999 02 0000 150, где главным администратором доходов является министерство </w:t>
      </w:r>
      <w:r>
        <w:rPr>
          <w:sz w:val="28"/>
          <w:szCs w:val="28"/>
        </w:rPr>
        <w:t xml:space="preserve">здравоохранения</w:t>
      </w:r>
      <w:r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 xml:space="preserve">, поступили</w:t>
      </w:r>
      <w:r>
        <w:rPr>
          <w:sz w:val="28"/>
          <w:szCs w:val="28"/>
        </w:rPr>
        <w:t xml:space="preserve">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9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</w:t>
      </w:r>
      <w:r>
        <w:rPr>
          <w:sz w:val="28"/>
          <w:szCs w:val="28"/>
        </w:rPr>
        <w:t xml:space="preserve"> иные </w:t>
      </w:r>
      <w:r>
        <w:rPr>
          <w:sz w:val="28"/>
          <w:szCs w:val="28"/>
        </w:rPr>
        <w:t xml:space="preserve">межбюджетны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 трансферт</w:t>
      </w:r>
      <w:r>
        <w:rPr>
          <w:sz w:val="28"/>
          <w:szCs w:val="28"/>
        </w:rPr>
        <w:t xml:space="preserve">ы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целях возмещения в полном объеме фактически осуществленных расходов бюджетов субъектов Российской Федерации в связи с оказанием медицинскими организ</w:t>
      </w:r>
      <w:r>
        <w:rPr>
          <w:sz w:val="28"/>
          <w:szCs w:val="28"/>
        </w:rPr>
        <w:t xml:space="preserve">ациями, подведомственными исполнительным органам субъектов Российской Федерации, органам местного самоуправления, в период проведения специальной военной операции первично</w:t>
      </w:r>
      <w:r>
        <w:rPr>
          <w:sz w:val="28"/>
          <w:szCs w:val="28"/>
        </w:rPr>
        <w:t xml:space="preserve">й медико-санитарной помощи при заболеваниях и состояниях, включенных в программу государственных гарантий бесплатного оказания гражданам медицинской помощи, военнослужащим Вооруженных Сил Российской Федерации, находящимся в отпуске, в том числе по болезни </w:t>
      </w:r>
      <w:r>
        <w:rPr>
          <w:sz w:val="28"/>
          <w:szCs w:val="28"/>
        </w:rPr>
        <w:br/>
        <w:t xml:space="preserve">в соответствии с р</w:t>
      </w:r>
      <w:r>
        <w:rPr>
          <w:sz w:val="28"/>
          <w:szCs w:val="28"/>
        </w:rPr>
        <w:t xml:space="preserve">аспоряжени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м</w:t>
      </w:r>
      <w:r>
        <w:rPr>
          <w:sz w:val="28"/>
          <w:szCs w:val="28"/>
        </w:rPr>
        <w:t xml:space="preserve"> П</w:t>
      </w:r>
      <w:r>
        <w:rPr>
          <w:sz w:val="28"/>
          <w:szCs w:val="28"/>
        </w:rPr>
        <w:t xml:space="preserve">равительства </w:t>
      </w:r>
      <w:r>
        <w:rPr>
          <w:sz w:val="28"/>
          <w:szCs w:val="28"/>
        </w:rPr>
        <w:t xml:space="preserve">РФ от </w:t>
      </w:r>
      <w:r>
        <w:rPr>
          <w:sz w:val="28"/>
          <w:szCs w:val="28"/>
        </w:rPr>
        <w:t xml:space="preserve">22</w:t>
      </w:r>
      <w:r>
        <w:rPr>
          <w:sz w:val="28"/>
          <w:szCs w:val="28"/>
        </w:rPr>
        <w:t xml:space="preserve">.0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.202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1292</w:t>
      </w:r>
      <w:r>
        <w:rPr>
          <w:sz w:val="28"/>
          <w:szCs w:val="28"/>
        </w:rPr>
        <w:t xml:space="preserve">-р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>
        <w:rPr>
          <w:sz w:val="28"/>
          <w:szCs w:val="28"/>
        </w:rPr>
        <w:t xml:space="preserve">и уведомлением по МБТ от 19.11.2025 №500-2025-3-009/001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(в размере </w:t>
      </w:r>
      <w:r>
        <w:rPr>
          <w:sz w:val="28"/>
          <w:szCs w:val="28"/>
        </w:rPr>
        <w:t xml:space="preserve">1 167,7</w:t>
      </w:r>
      <w:r>
        <w:rPr>
          <w:sz w:val="28"/>
          <w:szCs w:val="28"/>
        </w:rPr>
        <w:t xml:space="preserve"> тыс. рублей)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9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 </w:t>
      </w:r>
      <w:r>
        <w:rPr>
          <w:sz w:val="28"/>
          <w:szCs w:val="28"/>
        </w:rPr>
        <w:t xml:space="preserve">иные межбюджетные трансферты </w:t>
      </w:r>
      <w:r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уведомлениями </w:t>
      </w:r>
      <w:r>
        <w:rPr>
          <w:sz w:val="28"/>
          <w:szCs w:val="28"/>
        </w:rPr>
        <w:br/>
      </w:r>
      <w:r>
        <w:rPr>
          <w:sz w:val="28"/>
          <w:szCs w:val="28"/>
        </w:rPr>
        <w:t xml:space="preserve">по МБТ от </w:t>
      </w:r>
      <w:r>
        <w:rPr>
          <w:sz w:val="28"/>
          <w:szCs w:val="28"/>
        </w:rPr>
        <w:t xml:space="preserve">10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02</w:t>
      </w:r>
      <w:r>
        <w:rPr>
          <w:sz w:val="28"/>
          <w:szCs w:val="28"/>
        </w:rPr>
        <w:t xml:space="preserve">.2025 №500-2025-3-00</w:t>
      </w:r>
      <w:r>
        <w:rPr>
          <w:sz w:val="28"/>
          <w:szCs w:val="28"/>
        </w:rPr>
        <w:t xml:space="preserve">7 и от 27.06.2025 №500-2025-3-007/001 </w:t>
        <w:br/>
      </w:r>
      <w:r>
        <w:rPr>
          <w:sz w:val="28"/>
          <w:szCs w:val="28"/>
        </w:rPr>
        <w:t xml:space="preserve">(в размере </w:t>
      </w:r>
      <w:r>
        <w:rPr>
          <w:sz w:val="28"/>
          <w:szCs w:val="28"/>
        </w:rPr>
        <w:t xml:space="preserve">236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930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73</w:t>
      </w:r>
      <w:r>
        <w:rPr>
          <w:sz w:val="28"/>
          <w:szCs w:val="28"/>
        </w:rPr>
        <w:t xml:space="preserve"> тыс. рублей)</w:t>
      </w:r>
      <w:r>
        <w:rPr>
          <w:sz w:val="28"/>
          <w:szCs w:val="28"/>
        </w:rPr>
        <w:t xml:space="preserve">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9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 иные межбюджетные трансферты в соответствии с </w:t>
      </w:r>
      <w:r>
        <w:rPr>
          <w:sz w:val="28"/>
          <w:szCs w:val="28"/>
        </w:rPr>
        <w:t xml:space="preserve">уведомлением по МБТ от 10.03.2025 №500-2025-3-008 </w:t>
      </w:r>
      <w:r>
        <w:rPr>
          <w:sz w:val="28"/>
          <w:szCs w:val="28"/>
        </w:rPr>
        <w:t xml:space="preserve">(в размере 12 331,4 тыс. рублей</w:t>
      </w:r>
      <w:r>
        <w:rPr>
          <w:sz w:val="28"/>
          <w:szCs w:val="28"/>
        </w:rPr>
        <w:t xml:space="preserve">).</w:t>
      </w: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color w:val="c0504d" w:themeColor="accent2"/>
          <w:sz w:val="28"/>
          <w:szCs w:val="28"/>
        </w:rPr>
      </w:r>
      <w:r>
        <w:rPr>
          <w:color w:val="c0504d" w:themeColor="accent2"/>
          <w:sz w:val="28"/>
          <w:szCs w:val="28"/>
        </w:rPr>
      </w:r>
      <w:r>
        <w:rPr>
          <w:sz w:val="28"/>
          <w:szCs w:val="28"/>
        </w:rPr>
      </w:r>
    </w:p>
    <w:sectPr>
      <w:footerReference w:type="default" r:id="rId9"/>
      <w:footnotePr/>
      <w:endnotePr/>
      <w:type w:val="nextPage"/>
      <w:pgSz w:w="11906" w:h="16838" w:orient="portrait"/>
      <w:pgMar w:top="1134" w:right="567" w:bottom="1134" w:left="1418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Symbol">
    <w:panose1 w:val="05010000000000000000"/>
  </w:font>
  <w:font w:name="Courier New">
    <w:panose1 w:val="02070409020205020404"/>
  </w:font>
  <w:font w:name="Calibri">
    <w:panose1 w:val="020F0502020204030204"/>
  </w:font>
  <w:font w:name="Times New Roman">
    <w:panose1 w:val="02020603050405020304"/>
  </w:font>
  <w:font w:name="Tahoma">
    <w:panose1 w:val="020B0604030504040204"/>
  </w:font>
  <w:font w:name="Wingdings">
    <w:panose1 w:val="05010000000000000000"/>
  </w:font>
  <w:font w:name="Liberation Sans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1</w:t>
    </w:r>
    <w:r>
      <w:fldChar w:fldCharType="end"/>
    </w:r>
    <w:r/>
  </w:p>
  <w:p>
    <w:pPr>
      <w:pStyle w:val="865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854" w:hanging="360"/>
      </w:pPr>
    </w:lvl>
    <w:lvl w:ilvl="1">
      <w:start w:val="1"/>
      <w:numFmt w:val="bullet"/>
      <w:isLgl w:val="false"/>
      <w:suff w:val="tab"/>
      <w:lvlText w:val="o"/>
      <w:lvlJc w:val="left"/>
      <w:pPr>
        <w:ind w:left="2574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94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14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34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54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74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94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14" w:hanging="360"/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5" w:hanging="360"/>
        <w:tabs>
          <w:tab w:val="num" w:pos="126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985" w:hanging="360"/>
        <w:tabs>
          <w:tab w:val="num" w:pos="198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5" w:hanging="180"/>
        <w:tabs>
          <w:tab w:val="num" w:pos="270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5" w:hanging="360"/>
        <w:tabs>
          <w:tab w:val="num" w:pos="342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5" w:hanging="360"/>
        <w:tabs>
          <w:tab w:val="num" w:pos="414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5" w:hanging="180"/>
        <w:tabs>
          <w:tab w:val="num" w:pos="486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5" w:hanging="360"/>
        <w:tabs>
          <w:tab w:val="num" w:pos="558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5" w:hanging="360"/>
        <w:tabs>
          <w:tab w:val="num" w:pos="630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5" w:hanging="180"/>
        <w:tabs>
          <w:tab w:val="num" w:pos="7025" w:leader="none"/>
        </w:tabs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1">
    <w:name w:val="Heading 1"/>
    <w:basedOn w:val="859"/>
    <w:next w:val="859"/>
    <w:link w:val="682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82">
    <w:name w:val="Heading 1 Char"/>
    <w:link w:val="681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683">
    <w:name w:val="Heading 2"/>
    <w:basedOn w:val="859"/>
    <w:next w:val="859"/>
    <w:link w:val="684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684">
    <w:name w:val="Heading 2 Char"/>
    <w:link w:val="683"/>
    <w:uiPriority w:val="9"/>
    <w:rPr>
      <w:rFonts w:ascii="Liberation Sans" w:hAnsi="Liberation Sans" w:eastAsia="Liberation Sans" w:cs="Liberation Sans"/>
      <w:sz w:val="34"/>
    </w:rPr>
  </w:style>
  <w:style w:type="paragraph" w:styleId="685">
    <w:name w:val="Heading 3"/>
    <w:basedOn w:val="859"/>
    <w:next w:val="859"/>
    <w:link w:val="686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686">
    <w:name w:val="Heading 3 Char"/>
    <w:link w:val="685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687">
    <w:name w:val="Heading 4"/>
    <w:basedOn w:val="859"/>
    <w:next w:val="859"/>
    <w:link w:val="688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88">
    <w:name w:val="Heading 4 Char"/>
    <w:link w:val="687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689">
    <w:name w:val="Heading 5"/>
    <w:basedOn w:val="859"/>
    <w:next w:val="859"/>
    <w:link w:val="690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90">
    <w:name w:val="Heading 5 Char"/>
    <w:link w:val="689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91">
    <w:name w:val="Heading 6"/>
    <w:basedOn w:val="859"/>
    <w:next w:val="859"/>
    <w:link w:val="692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92">
    <w:name w:val="Heading 6 Char"/>
    <w:link w:val="691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693">
    <w:name w:val="Heading 7"/>
    <w:basedOn w:val="859"/>
    <w:next w:val="859"/>
    <w:link w:val="694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94">
    <w:name w:val="Heading 7 Char"/>
    <w:link w:val="693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695">
    <w:name w:val="Heading 8"/>
    <w:basedOn w:val="859"/>
    <w:next w:val="859"/>
    <w:link w:val="696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96">
    <w:name w:val="Heading 8 Char"/>
    <w:link w:val="695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697">
    <w:name w:val="Heading 9"/>
    <w:basedOn w:val="859"/>
    <w:next w:val="859"/>
    <w:link w:val="698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98">
    <w:name w:val="Heading 9 Char"/>
    <w:link w:val="697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699">
    <w:name w:val="List Paragraph"/>
    <w:basedOn w:val="859"/>
    <w:uiPriority w:val="34"/>
    <w:qFormat/>
    <w:pPr>
      <w:contextualSpacing/>
      <w:ind w:left="720"/>
    </w:pPr>
  </w:style>
  <w:style w:type="paragraph" w:styleId="700">
    <w:name w:val="No Spacing"/>
    <w:uiPriority w:val="1"/>
    <w:qFormat/>
    <w:pPr>
      <w:spacing w:before="0" w:after="0" w:line="240" w:lineRule="auto"/>
    </w:pPr>
  </w:style>
  <w:style w:type="paragraph" w:styleId="701">
    <w:name w:val="Title"/>
    <w:basedOn w:val="859"/>
    <w:next w:val="859"/>
    <w:link w:val="70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2">
    <w:name w:val="Title Char"/>
    <w:link w:val="701"/>
    <w:uiPriority w:val="10"/>
    <w:rPr>
      <w:sz w:val="48"/>
      <w:szCs w:val="48"/>
    </w:rPr>
  </w:style>
  <w:style w:type="paragraph" w:styleId="703">
    <w:name w:val="Subtitle"/>
    <w:basedOn w:val="859"/>
    <w:next w:val="859"/>
    <w:link w:val="704"/>
    <w:uiPriority w:val="11"/>
    <w:qFormat/>
    <w:pPr>
      <w:spacing w:before="200" w:after="200"/>
    </w:pPr>
    <w:rPr>
      <w:sz w:val="24"/>
      <w:szCs w:val="24"/>
    </w:rPr>
  </w:style>
  <w:style w:type="character" w:styleId="704">
    <w:name w:val="Subtitle Char"/>
    <w:link w:val="703"/>
    <w:uiPriority w:val="11"/>
    <w:rPr>
      <w:sz w:val="24"/>
      <w:szCs w:val="24"/>
    </w:rPr>
  </w:style>
  <w:style w:type="paragraph" w:styleId="705">
    <w:name w:val="Quote"/>
    <w:basedOn w:val="859"/>
    <w:next w:val="859"/>
    <w:link w:val="706"/>
    <w:uiPriority w:val="29"/>
    <w:qFormat/>
    <w:pPr>
      <w:ind w:left="720" w:right="720"/>
    </w:pPr>
    <w:rPr>
      <w:i/>
    </w:rPr>
  </w:style>
  <w:style w:type="character" w:styleId="706">
    <w:name w:val="Quote Char"/>
    <w:link w:val="705"/>
    <w:uiPriority w:val="29"/>
    <w:rPr>
      <w:i/>
    </w:rPr>
  </w:style>
  <w:style w:type="paragraph" w:styleId="707">
    <w:name w:val="Intense Quote"/>
    <w:basedOn w:val="859"/>
    <w:next w:val="859"/>
    <w:link w:val="70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8">
    <w:name w:val="Intense Quote Char"/>
    <w:link w:val="707"/>
    <w:uiPriority w:val="30"/>
    <w:rPr>
      <w:i/>
    </w:rPr>
  </w:style>
  <w:style w:type="paragraph" w:styleId="709">
    <w:name w:val="Header"/>
    <w:basedOn w:val="859"/>
    <w:link w:val="71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0">
    <w:name w:val="Header Char"/>
    <w:link w:val="709"/>
    <w:uiPriority w:val="99"/>
  </w:style>
  <w:style w:type="paragraph" w:styleId="711">
    <w:name w:val="Footer"/>
    <w:basedOn w:val="859"/>
    <w:link w:val="71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2">
    <w:name w:val="Footer Char"/>
    <w:link w:val="711"/>
    <w:uiPriority w:val="99"/>
  </w:style>
  <w:style w:type="paragraph" w:styleId="713">
    <w:name w:val="Caption"/>
    <w:basedOn w:val="859"/>
    <w:next w:val="859"/>
    <w:link w:val="71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4">
    <w:name w:val="Caption Char"/>
    <w:link w:val="713"/>
    <w:uiPriority w:val="35"/>
    <w:rPr>
      <w:b/>
      <w:bCs/>
      <w:color w:val="4f81bd" w:themeColor="accent1"/>
      <w:sz w:val="18"/>
      <w:szCs w:val="18"/>
    </w:rPr>
  </w:style>
  <w:style w:type="table" w:styleId="715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6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7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18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19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0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2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4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5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6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7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8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9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0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1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52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53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54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55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56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57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58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59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60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61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62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63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64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9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0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1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2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3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4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5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00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01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02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03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04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05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06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7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8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9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0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1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2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3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814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815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816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817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818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819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820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1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2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3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4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5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6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7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8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9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0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1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2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3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4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5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6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7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8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9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0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41">
    <w:name w:val="Hyperlink"/>
    <w:uiPriority w:val="99"/>
    <w:unhideWhenUsed/>
    <w:rPr>
      <w:color w:val="0000ff" w:themeColor="hyperlink"/>
      <w:u w:val="single"/>
    </w:rPr>
  </w:style>
  <w:style w:type="paragraph" w:styleId="842">
    <w:name w:val="footnote text"/>
    <w:basedOn w:val="859"/>
    <w:link w:val="843"/>
    <w:uiPriority w:val="99"/>
    <w:semiHidden/>
    <w:unhideWhenUsed/>
    <w:pPr>
      <w:spacing w:after="40" w:line="240" w:lineRule="auto"/>
    </w:pPr>
    <w:rPr>
      <w:sz w:val="18"/>
    </w:rPr>
  </w:style>
  <w:style w:type="character" w:styleId="843">
    <w:name w:val="Footnote Text Char"/>
    <w:link w:val="842"/>
    <w:uiPriority w:val="99"/>
    <w:rPr>
      <w:sz w:val="18"/>
    </w:rPr>
  </w:style>
  <w:style w:type="character" w:styleId="844">
    <w:name w:val="footnote reference"/>
    <w:uiPriority w:val="99"/>
    <w:unhideWhenUsed/>
    <w:rPr>
      <w:vertAlign w:val="superscript"/>
    </w:rPr>
  </w:style>
  <w:style w:type="paragraph" w:styleId="845">
    <w:name w:val="endnote text"/>
    <w:basedOn w:val="859"/>
    <w:link w:val="846"/>
    <w:uiPriority w:val="99"/>
    <w:semiHidden/>
    <w:unhideWhenUsed/>
    <w:pPr>
      <w:spacing w:after="0" w:line="240" w:lineRule="auto"/>
    </w:pPr>
    <w:rPr>
      <w:sz w:val="20"/>
    </w:rPr>
  </w:style>
  <w:style w:type="character" w:styleId="846">
    <w:name w:val="Endnote Text Char"/>
    <w:link w:val="845"/>
    <w:uiPriority w:val="99"/>
    <w:rPr>
      <w:sz w:val="20"/>
    </w:rPr>
  </w:style>
  <w:style w:type="character" w:styleId="847">
    <w:name w:val="endnote reference"/>
    <w:uiPriority w:val="99"/>
    <w:semiHidden/>
    <w:unhideWhenUsed/>
    <w:rPr>
      <w:vertAlign w:val="superscript"/>
    </w:rPr>
  </w:style>
  <w:style w:type="paragraph" w:styleId="848">
    <w:name w:val="toc 1"/>
    <w:basedOn w:val="859"/>
    <w:next w:val="859"/>
    <w:uiPriority w:val="39"/>
    <w:unhideWhenUsed/>
    <w:pPr>
      <w:ind w:left="0" w:right="0" w:firstLine="0"/>
      <w:spacing w:after="57"/>
    </w:pPr>
  </w:style>
  <w:style w:type="paragraph" w:styleId="849">
    <w:name w:val="toc 2"/>
    <w:basedOn w:val="859"/>
    <w:next w:val="859"/>
    <w:uiPriority w:val="39"/>
    <w:unhideWhenUsed/>
    <w:pPr>
      <w:ind w:left="283" w:right="0" w:firstLine="0"/>
      <w:spacing w:after="57"/>
    </w:pPr>
  </w:style>
  <w:style w:type="paragraph" w:styleId="850">
    <w:name w:val="toc 3"/>
    <w:basedOn w:val="859"/>
    <w:next w:val="859"/>
    <w:uiPriority w:val="39"/>
    <w:unhideWhenUsed/>
    <w:pPr>
      <w:ind w:left="567" w:right="0" w:firstLine="0"/>
      <w:spacing w:after="57"/>
    </w:pPr>
  </w:style>
  <w:style w:type="paragraph" w:styleId="851">
    <w:name w:val="toc 4"/>
    <w:basedOn w:val="859"/>
    <w:next w:val="859"/>
    <w:uiPriority w:val="39"/>
    <w:unhideWhenUsed/>
    <w:pPr>
      <w:ind w:left="850" w:right="0" w:firstLine="0"/>
      <w:spacing w:after="57"/>
    </w:pPr>
  </w:style>
  <w:style w:type="paragraph" w:styleId="852">
    <w:name w:val="toc 5"/>
    <w:basedOn w:val="859"/>
    <w:next w:val="859"/>
    <w:uiPriority w:val="39"/>
    <w:unhideWhenUsed/>
    <w:pPr>
      <w:ind w:left="1134" w:right="0" w:firstLine="0"/>
      <w:spacing w:after="57"/>
    </w:pPr>
  </w:style>
  <w:style w:type="paragraph" w:styleId="853">
    <w:name w:val="toc 6"/>
    <w:basedOn w:val="859"/>
    <w:next w:val="859"/>
    <w:uiPriority w:val="39"/>
    <w:unhideWhenUsed/>
    <w:pPr>
      <w:ind w:left="1417" w:right="0" w:firstLine="0"/>
      <w:spacing w:after="57"/>
    </w:pPr>
  </w:style>
  <w:style w:type="paragraph" w:styleId="854">
    <w:name w:val="toc 7"/>
    <w:basedOn w:val="859"/>
    <w:next w:val="859"/>
    <w:uiPriority w:val="39"/>
    <w:unhideWhenUsed/>
    <w:pPr>
      <w:ind w:left="1701" w:right="0" w:firstLine="0"/>
      <w:spacing w:after="57"/>
    </w:pPr>
  </w:style>
  <w:style w:type="paragraph" w:styleId="855">
    <w:name w:val="toc 8"/>
    <w:basedOn w:val="859"/>
    <w:next w:val="859"/>
    <w:uiPriority w:val="39"/>
    <w:unhideWhenUsed/>
    <w:pPr>
      <w:ind w:left="1984" w:right="0" w:firstLine="0"/>
      <w:spacing w:after="57"/>
    </w:pPr>
  </w:style>
  <w:style w:type="paragraph" w:styleId="856">
    <w:name w:val="toc 9"/>
    <w:basedOn w:val="859"/>
    <w:next w:val="859"/>
    <w:uiPriority w:val="39"/>
    <w:unhideWhenUsed/>
    <w:pPr>
      <w:ind w:left="2268" w:right="0" w:firstLine="0"/>
      <w:spacing w:after="57"/>
    </w:pPr>
  </w:style>
  <w:style w:type="paragraph" w:styleId="857">
    <w:name w:val="TOC Heading"/>
    <w:uiPriority w:val="39"/>
    <w:unhideWhenUsed/>
  </w:style>
  <w:style w:type="paragraph" w:styleId="858">
    <w:name w:val="table of figures"/>
    <w:basedOn w:val="859"/>
    <w:next w:val="859"/>
    <w:uiPriority w:val="99"/>
    <w:unhideWhenUsed/>
    <w:pPr>
      <w:spacing w:after="0" w:afterAutospacing="0"/>
    </w:pPr>
  </w:style>
  <w:style w:type="paragraph" w:styleId="859" w:default="1">
    <w:name w:val="Normal"/>
    <w:next w:val="859"/>
    <w:link w:val="859"/>
    <w:qFormat/>
    <w:rPr>
      <w:sz w:val="24"/>
      <w:szCs w:val="24"/>
      <w:lang w:val="ru-RU" w:eastAsia="ru-RU" w:bidi="ar-SA"/>
    </w:rPr>
  </w:style>
  <w:style w:type="character" w:styleId="860">
    <w:name w:val="Основной шрифт абзаца"/>
    <w:next w:val="860"/>
    <w:link w:val="859"/>
    <w:semiHidden/>
  </w:style>
  <w:style w:type="table" w:styleId="861">
    <w:name w:val="Обычная таблица"/>
    <w:next w:val="861"/>
    <w:link w:val="859"/>
    <w:semiHidden/>
    <w:tblPr/>
  </w:style>
  <w:style w:type="numbering" w:styleId="862">
    <w:name w:val="Нет списка"/>
    <w:next w:val="862"/>
    <w:link w:val="859"/>
    <w:semiHidden/>
  </w:style>
  <w:style w:type="paragraph" w:styleId="863">
    <w:name w:val="Текст выноски"/>
    <w:basedOn w:val="859"/>
    <w:next w:val="863"/>
    <w:link w:val="859"/>
    <w:semiHidden/>
    <w:rPr>
      <w:rFonts w:ascii="Tahoma" w:hAnsi="Tahoma" w:cs="Tahoma"/>
      <w:sz w:val="16"/>
      <w:szCs w:val="16"/>
    </w:rPr>
  </w:style>
  <w:style w:type="paragraph" w:styleId="864">
    <w:name w:val="Верхний колонтитул"/>
    <w:basedOn w:val="859"/>
    <w:next w:val="864"/>
    <w:link w:val="859"/>
    <w:pPr>
      <w:tabs>
        <w:tab w:val="center" w:pos="4677" w:leader="none"/>
        <w:tab w:val="right" w:pos="9355" w:leader="none"/>
      </w:tabs>
    </w:pPr>
  </w:style>
  <w:style w:type="paragraph" w:styleId="865">
    <w:name w:val="Нижний колонтитул"/>
    <w:basedOn w:val="859"/>
    <w:next w:val="865"/>
    <w:link w:val="866"/>
    <w:uiPriority w:val="99"/>
    <w:pPr>
      <w:tabs>
        <w:tab w:val="center" w:pos="4677" w:leader="none"/>
        <w:tab w:val="right" w:pos="9355" w:leader="none"/>
      </w:tabs>
    </w:pPr>
  </w:style>
  <w:style w:type="character" w:styleId="866">
    <w:name w:val="Нижний колонтитул Знак"/>
    <w:next w:val="866"/>
    <w:link w:val="865"/>
    <w:uiPriority w:val="99"/>
    <w:rPr>
      <w:sz w:val="24"/>
      <w:szCs w:val="24"/>
    </w:rPr>
  </w:style>
  <w:style w:type="paragraph" w:styleId="867">
    <w:name w:val="мой"/>
    <w:basedOn w:val="868"/>
    <w:next w:val="867"/>
    <w:link w:val="859"/>
    <w:qFormat/>
    <w:pPr>
      <w:contextualSpacing/>
    </w:pPr>
    <w:rPr>
      <w:rFonts w:eastAsia="Calibri" w:cs="Times New Roman"/>
      <w:sz w:val="28"/>
      <w:szCs w:val="22"/>
      <w:lang w:eastAsia="en-US"/>
    </w:rPr>
  </w:style>
  <w:style w:type="paragraph" w:styleId="868">
    <w:name w:val="Без интервала"/>
    <w:next w:val="868"/>
    <w:link w:val="859"/>
    <w:uiPriority w:val="1"/>
    <w:qFormat/>
    <w:rPr>
      <w:sz w:val="24"/>
      <w:szCs w:val="24"/>
      <w:lang w:val="ru-RU" w:eastAsia="ru-RU" w:bidi="ar-SA"/>
    </w:rPr>
  </w:style>
  <w:style w:type="character" w:styleId="869">
    <w:name w:val="Знак примечания"/>
    <w:next w:val="869"/>
    <w:link w:val="859"/>
    <w:rPr>
      <w:sz w:val="16"/>
      <w:szCs w:val="16"/>
    </w:rPr>
  </w:style>
  <w:style w:type="paragraph" w:styleId="870">
    <w:name w:val="Текст примечания"/>
    <w:basedOn w:val="859"/>
    <w:next w:val="870"/>
    <w:link w:val="871"/>
    <w:rPr>
      <w:sz w:val="20"/>
      <w:szCs w:val="20"/>
    </w:rPr>
  </w:style>
  <w:style w:type="character" w:styleId="871">
    <w:name w:val="Текст примечания Знак"/>
    <w:basedOn w:val="860"/>
    <w:next w:val="871"/>
    <w:link w:val="870"/>
  </w:style>
  <w:style w:type="paragraph" w:styleId="872">
    <w:name w:val="Тема примечания"/>
    <w:basedOn w:val="870"/>
    <w:next w:val="870"/>
    <w:link w:val="873"/>
    <w:rPr>
      <w:b/>
      <w:bCs/>
    </w:rPr>
  </w:style>
  <w:style w:type="character" w:styleId="873">
    <w:name w:val="Тема примечания Знак"/>
    <w:next w:val="873"/>
    <w:link w:val="872"/>
    <w:rPr>
      <w:b/>
      <w:bCs/>
    </w:rPr>
  </w:style>
  <w:style w:type="table" w:styleId="874">
    <w:name w:val="Сетка таблицы"/>
    <w:basedOn w:val="861"/>
    <w:next w:val="874"/>
    <w:link w:val="859"/>
    <w:tblPr/>
  </w:style>
  <w:style w:type="character" w:styleId="875" w:default="1">
    <w:name w:val="Default Paragraph Font"/>
    <w:uiPriority w:val="1"/>
    <w:semiHidden/>
    <w:unhideWhenUsed/>
  </w:style>
  <w:style w:type="numbering" w:styleId="876" w:default="1">
    <w:name w:val="No List"/>
    <w:uiPriority w:val="99"/>
    <w:semiHidden/>
    <w:unhideWhenUsed/>
  </w:style>
  <w:style w:type="table" w:styleId="877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office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Законом Новосибирской области «Об областном бюджете Новосибирской области на 2007 год» (в ред</dc:title>
  <dc:creator>skazhutina</dc:creator>
  <cp:lastModifiedBy>litvinov_dg@mfnso.local</cp:lastModifiedBy>
  <cp:revision>16</cp:revision>
  <dcterms:created xsi:type="dcterms:W3CDTF">2023-03-13T09:12:00Z</dcterms:created>
  <dcterms:modified xsi:type="dcterms:W3CDTF">2026-03-20T06:36:01Z</dcterms:modified>
  <cp:version>1048576</cp:version>
</cp:coreProperties>
</file>